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BE55" w14:textId="77777777" w:rsidR="00621AC7" w:rsidRPr="00A60B2D" w:rsidRDefault="00621AC7" w:rsidP="00621AC7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Додаток </w:t>
      </w:r>
    </w:p>
    <w:p w14:paraId="3F1678C1" w14:textId="77777777" w:rsidR="00621AC7" w:rsidRPr="00A60B2D" w:rsidRDefault="00621AC7" w:rsidP="00621AC7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до рішення районної </w:t>
      </w:r>
    </w:p>
    <w:p w14:paraId="5C234E97" w14:textId="77777777" w:rsidR="00621AC7" w:rsidRPr="00A60B2D" w:rsidRDefault="00621AC7" w:rsidP="00621AC7">
      <w:pPr>
        <w:ind w:firstLine="6096"/>
        <w:rPr>
          <w:b/>
          <w:bCs/>
          <w:sz w:val="28"/>
          <w:szCs w:val="28"/>
          <w:u w:val="single"/>
          <w:lang w:val="uk-UA"/>
        </w:rPr>
      </w:pPr>
      <w:r w:rsidRPr="00A60B2D">
        <w:rPr>
          <w:b/>
          <w:bCs/>
          <w:sz w:val="28"/>
          <w:szCs w:val="28"/>
          <w:lang w:val="uk-UA"/>
        </w:rPr>
        <w:t xml:space="preserve">від </w:t>
      </w:r>
      <w:r>
        <w:rPr>
          <w:b/>
          <w:bCs/>
          <w:sz w:val="28"/>
          <w:szCs w:val="28"/>
          <w:lang w:val="uk-UA"/>
        </w:rPr>
        <w:t xml:space="preserve">22.05.2026 </w:t>
      </w:r>
      <w:r w:rsidRPr="00A60B2D">
        <w:rPr>
          <w:b/>
          <w:bCs/>
          <w:sz w:val="28"/>
          <w:szCs w:val="28"/>
          <w:lang w:val="uk-UA"/>
        </w:rPr>
        <w:t>року №</w:t>
      </w:r>
      <w:r>
        <w:rPr>
          <w:b/>
          <w:bCs/>
          <w:sz w:val="28"/>
          <w:szCs w:val="28"/>
          <w:lang w:val="uk-UA"/>
        </w:rPr>
        <w:t>432</w:t>
      </w:r>
    </w:p>
    <w:p w14:paraId="518AE5D3" w14:textId="77777777" w:rsidR="00621AC7" w:rsidRPr="00A60B2D" w:rsidRDefault="00621AC7" w:rsidP="00621AC7">
      <w:pPr>
        <w:shd w:val="clear" w:color="auto" w:fill="FFFFFF"/>
        <w:ind w:firstLine="6096"/>
        <w:jc w:val="both"/>
        <w:rPr>
          <w:b/>
          <w:sz w:val="28"/>
          <w:szCs w:val="28"/>
          <w:lang w:val="uk-UA"/>
        </w:rPr>
      </w:pPr>
    </w:p>
    <w:p w14:paraId="589FA9DD" w14:textId="77777777" w:rsidR="00621AC7" w:rsidRPr="00A60B2D" w:rsidRDefault="00621AC7" w:rsidP="00621AC7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sz w:val="28"/>
          <w:szCs w:val="28"/>
          <w:lang w:val="uk-UA"/>
        </w:rPr>
        <w:t xml:space="preserve">Умови </w:t>
      </w:r>
    </w:p>
    <w:p w14:paraId="004477CE" w14:textId="77777777" w:rsidR="00621AC7" w:rsidRPr="00A60B2D" w:rsidRDefault="00621AC7" w:rsidP="00621AC7">
      <w:pPr>
        <w:jc w:val="center"/>
        <w:rPr>
          <w:b/>
          <w:sz w:val="28"/>
          <w:szCs w:val="28"/>
          <w:lang w:val="uk-UA"/>
        </w:rPr>
      </w:pPr>
      <w:r w:rsidRPr="00A60B2D">
        <w:rPr>
          <w:b/>
          <w:color w:val="0F0F0F"/>
          <w:sz w:val="28"/>
          <w:szCs w:val="28"/>
          <w:lang w:val="uk-UA"/>
        </w:rPr>
        <w:t xml:space="preserve">оренди вбудованих </w:t>
      </w:r>
      <w:r w:rsidRPr="00A60B2D">
        <w:rPr>
          <w:b/>
          <w:color w:val="0E0E0E"/>
          <w:sz w:val="28"/>
          <w:szCs w:val="28"/>
          <w:lang w:val="uk-UA"/>
        </w:rPr>
        <w:t xml:space="preserve">нежитлових </w:t>
      </w:r>
      <w:r w:rsidRPr="00A60B2D">
        <w:rPr>
          <w:b/>
          <w:color w:val="080808"/>
          <w:sz w:val="28"/>
          <w:szCs w:val="28"/>
          <w:lang w:val="uk-UA"/>
        </w:rPr>
        <w:t xml:space="preserve">приміщень </w:t>
      </w:r>
      <w:r w:rsidRPr="00A60B2D">
        <w:rPr>
          <w:b/>
          <w:color w:val="161616"/>
          <w:sz w:val="28"/>
          <w:szCs w:val="28"/>
          <w:lang w:val="uk-UA"/>
        </w:rPr>
        <w:t>поз.</w:t>
      </w:r>
      <w:r w:rsidRPr="00A60B2D">
        <w:rPr>
          <w:b/>
          <w:color w:val="161616"/>
          <w:spacing w:val="1"/>
          <w:sz w:val="28"/>
          <w:szCs w:val="28"/>
          <w:lang w:val="uk-UA"/>
        </w:rPr>
        <w:t xml:space="preserve"> </w:t>
      </w:r>
      <w:r w:rsidRPr="00A60B2D">
        <w:rPr>
          <w:b/>
          <w:color w:val="1F1F1F"/>
          <w:sz w:val="28"/>
          <w:szCs w:val="28"/>
          <w:lang w:val="uk-UA"/>
        </w:rPr>
        <w:t xml:space="preserve">46, </w:t>
      </w:r>
      <w:r w:rsidRPr="00A60B2D">
        <w:rPr>
          <w:b/>
          <w:color w:val="151515"/>
          <w:sz w:val="28"/>
          <w:szCs w:val="28"/>
          <w:lang w:val="uk-UA"/>
        </w:rPr>
        <w:t xml:space="preserve">поз. </w:t>
      </w:r>
      <w:r w:rsidRPr="00A60B2D">
        <w:rPr>
          <w:b/>
          <w:color w:val="212121"/>
          <w:sz w:val="28"/>
          <w:szCs w:val="28"/>
          <w:lang w:val="uk-UA"/>
        </w:rPr>
        <w:t xml:space="preserve">47 </w:t>
      </w:r>
      <w:r w:rsidRPr="00A60B2D">
        <w:rPr>
          <w:b/>
          <w:color w:val="131313"/>
          <w:sz w:val="28"/>
          <w:szCs w:val="28"/>
          <w:lang w:val="uk-UA"/>
        </w:rPr>
        <w:t xml:space="preserve">та </w:t>
      </w:r>
      <w:r w:rsidRPr="00A60B2D">
        <w:rPr>
          <w:b/>
          <w:color w:val="161616"/>
          <w:sz w:val="28"/>
          <w:szCs w:val="28"/>
          <w:lang w:val="uk-UA"/>
        </w:rPr>
        <w:t xml:space="preserve">поз. </w:t>
      </w:r>
      <w:r w:rsidRPr="00A60B2D">
        <w:rPr>
          <w:b/>
          <w:color w:val="1C1C1C"/>
          <w:sz w:val="28"/>
          <w:szCs w:val="28"/>
          <w:lang w:val="uk-UA"/>
        </w:rPr>
        <w:t xml:space="preserve">48 </w:t>
      </w:r>
      <w:r w:rsidRPr="00A60B2D">
        <w:rPr>
          <w:b/>
          <w:color w:val="161616"/>
          <w:sz w:val="28"/>
          <w:szCs w:val="28"/>
          <w:lang w:val="uk-UA"/>
        </w:rPr>
        <w:t xml:space="preserve">загальною </w:t>
      </w:r>
      <w:r w:rsidRPr="00A60B2D">
        <w:rPr>
          <w:b/>
          <w:color w:val="1C1C1C"/>
          <w:sz w:val="28"/>
          <w:szCs w:val="28"/>
          <w:lang w:val="uk-UA"/>
        </w:rPr>
        <w:t xml:space="preserve">площею </w:t>
      </w:r>
      <w:r w:rsidRPr="00A60B2D">
        <w:rPr>
          <w:b/>
          <w:color w:val="151515"/>
          <w:sz w:val="28"/>
          <w:szCs w:val="28"/>
          <w:lang w:val="uk-UA"/>
        </w:rPr>
        <w:t xml:space="preserve">58,9 </w:t>
      </w:r>
      <w:r w:rsidRPr="00A60B2D">
        <w:rPr>
          <w:b/>
          <w:color w:val="1C1C1C"/>
          <w:sz w:val="28"/>
          <w:szCs w:val="28"/>
          <w:lang w:val="uk-UA"/>
        </w:rPr>
        <w:t>м</w:t>
      </w:r>
      <w:r w:rsidRPr="00A60B2D">
        <w:rPr>
          <w:b/>
          <w:color w:val="1C1C1C"/>
          <w:sz w:val="28"/>
          <w:szCs w:val="28"/>
          <w:vertAlign w:val="superscript"/>
          <w:lang w:val="uk-UA"/>
        </w:rPr>
        <w:t>2</w:t>
      </w:r>
      <w:r w:rsidRPr="00A60B2D">
        <w:rPr>
          <w:b/>
          <w:color w:val="1C1C1C"/>
          <w:sz w:val="28"/>
          <w:szCs w:val="28"/>
          <w:lang w:val="uk-UA"/>
        </w:rPr>
        <w:t xml:space="preserve"> </w:t>
      </w:r>
      <w:r w:rsidRPr="00A60B2D">
        <w:rPr>
          <w:b/>
          <w:color w:val="131313"/>
          <w:sz w:val="28"/>
          <w:szCs w:val="28"/>
          <w:lang w:val="uk-UA"/>
        </w:rPr>
        <w:t xml:space="preserve">за </w:t>
      </w:r>
      <w:proofErr w:type="spellStart"/>
      <w:r w:rsidRPr="00A60B2D">
        <w:rPr>
          <w:b/>
          <w:color w:val="0F0F0F"/>
          <w:sz w:val="28"/>
          <w:szCs w:val="28"/>
          <w:lang w:val="uk-UA"/>
        </w:rPr>
        <w:t>адресою</w:t>
      </w:r>
      <w:proofErr w:type="spellEnd"/>
      <w:r w:rsidRPr="00A60B2D">
        <w:rPr>
          <w:b/>
          <w:color w:val="0F0F0F"/>
          <w:sz w:val="28"/>
          <w:szCs w:val="28"/>
          <w:lang w:val="uk-UA"/>
        </w:rPr>
        <w:t xml:space="preserve">: </w:t>
      </w:r>
      <w:r w:rsidRPr="00A60B2D">
        <w:rPr>
          <w:b/>
          <w:color w:val="0A0A0A"/>
          <w:sz w:val="28"/>
          <w:szCs w:val="28"/>
          <w:lang w:val="uk-UA"/>
        </w:rPr>
        <w:t xml:space="preserve">Закарпатська </w:t>
      </w:r>
      <w:r w:rsidRPr="00A60B2D">
        <w:rPr>
          <w:b/>
          <w:color w:val="161616"/>
          <w:sz w:val="28"/>
          <w:szCs w:val="28"/>
          <w:lang w:val="uk-UA"/>
        </w:rPr>
        <w:t>обл.,</w:t>
      </w:r>
      <w:r w:rsidRPr="00A60B2D">
        <w:rPr>
          <w:b/>
          <w:color w:val="161616"/>
          <w:spacing w:val="1"/>
          <w:sz w:val="28"/>
          <w:szCs w:val="28"/>
          <w:lang w:val="uk-UA"/>
        </w:rPr>
        <w:t xml:space="preserve"> </w:t>
      </w:r>
      <w:r w:rsidRPr="00A60B2D">
        <w:rPr>
          <w:b/>
          <w:color w:val="0C0C0C"/>
          <w:sz w:val="28"/>
          <w:szCs w:val="28"/>
          <w:lang w:val="uk-UA"/>
        </w:rPr>
        <w:t>м.</w:t>
      </w:r>
      <w:r w:rsidRPr="00A60B2D">
        <w:rPr>
          <w:b/>
          <w:color w:val="0C0C0C"/>
          <w:spacing w:val="1"/>
          <w:sz w:val="28"/>
          <w:szCs w:val="28"/>
          <w:lang w:val="uk-UA"/>
        </w:rPr>
        <w:t xml:space="preserve"> </w:t>
      </w:r>
      <w:r w:rsidRPr="00A60B2D">
        <w:rPr>
          <w:b/>
          <w:color w:val="0A0A0A"/>
          <w:sz w:val="28"/>
          <w:szCs w:val="28"/>
          <w:lang w:val="uk-UA"/>
        </w:rPr>
        <w:t>Ужгород,</w:t>
      </w:r>
      <w:r w:rsidRPr="00A60B2D">
        <w:rPr>
          <w:b/>
          <w:color w:val="0A0A0A"/>
          <w:spacing w:val="19"/>
          <w:sz w:val="28"/>
          <w:szCs w:val="28"/>
          <w:lang w:val="uk-UA"/>
        </w:rPr>
        <w:t xml:space="preserve"> </w:t>
      </w:r>
      <w:r w:rsidRPr="00A60B2D">
        <w:rPr>
          <w:b/>
          <w:color w:val="1F1F1F"/>
          <w:sz w:val="28"/>
          <w:szCs w:val="28"/>
          <w:lang w:val="uk-UA"/>
        </w:rPr>
        <w:t>вул.</w:t>
      </w:r>
      <w:r w:rsidRPr="00A60B2D">
        <w:rPr>
          <w:b/>
          <w:color w:val="1F1F1F"/>
          <w:spacing w:val="6"/>
          <w:sz w:val="28"/>
          <w:szCs w:val="28"/>
          <w:lang w:val="uk-UA"/>
        </w:rPr>
        <w:t xml:space="preserve"> </w:t>
      </w:r>
      <w:r w:rsidRPr="00A60B2D">
        <w:rPr>
          <w:b/>
          <w:color w:val="161616"/>
          <w:sz w:val="28"/>
          <w:szCs w:val="28"/>
          <w:lang w:val="uk-UA"/>
        </w:rPr>
        <w:t>Минайська,</w:t>
      </w:r>
      <w:r w:rsidRPr="00A60B2D">
        <w:rPr>
          <w:b/>
          <w:color w:val="212121"/>
          <w:sz w:val="28"/>
          <w:szCs w:val="28"/>
          <w:lang w:val="uk-UA"/>
        </w:rPr>
        <w:t>40</w:t>
      </w:r>
    </w:p>
    <w:p w14:paraId="5DB4B841" w14:textId="77777777" w:rsidR="00621AC7" w:rsidRPr="00A60B2D" w:rsidRDefault="00621AC7" w:rsidP="00621AC7">
      <w:pPr>
        <w:jc w:val="both"/>
        <w:textAlignment w:val="baseline"/>
        <w:rPr>
          <w:color w:val="000000"/>
          <w:lang w:val="uk-UA" w:eastAsia="uk-UA"/>
        </w:rPr>
      </w:pPr>
    </w:p>
    <w:p w14:paraId="790D8C13" w14:textId="77777777" w:rsidR="00621AC7" w:rsidRPr="00A60B2D" w:rsidRDefault="00621AC7" w:rsidP="00621AC7">
      <w:pPr>
        <w:ind w:left="720"/>
        <w:rPr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9"/>
        <w:gridCol w:w="3840"/>
        <w:gridCol w:w="9"/>
      </w:tblGrid>
      <w:tr w:rsidR="00621AC7" w:rsidRPr="00A60B2D" w14:paraId="1FCE215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3A3CD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bCs/>
                <w:color w:val="000000"/>
                <w:lang w:val="uk-UA" w:eastAsia="uk-UA"/>
              </w:rPr>
              <w:t>Назва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F9C5B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F0F0F"/>
                <w:lang w:val="uk-UA"/>
              </w:rPr>
              <w:t xml:space="preserve">Вбудовані </w:t>
            </w:r>
            <w:r w:rsidRPr="00A60B2D">
              <w:rPr>
                <w:color w:val="0E0E0E"/>
                <w:lang w:val="uk-UA"/>
              </w:rPr>
              <w:t xml:space="preserve">нежитлові </w:t>
            </w:r>
            <w:r w:rsidRPr="00A60B2D">
              <w:rPr>
                <w:color w:val="080808"/>
                <w:lang w:val="uk-UA"/>
              </w:rPr>
              <w:t xml:space="preserve">приміщення </w:t>
            </w:r>
            <w:r w:rsidRPr="00A60B2D">
              <w:rPr>
                <w:color w:val="161616"/>
                <w:lang w:val="uk-UA"/>
              </w:rPr>
              <w:t>поз.</w:t>
            </w:r>
            <w:r w:rsidRPr="00A60B2D">
              <w:rPr>
                <w:color w:val="161616"/>
                <w:spacing w:val="1"/>
                <w:lang w:val="uk-UA"/>
              </w:rPr>
              <w:t xml:space="preserve"> </w:t>
            </w:r>
            <w:r w:rsidRPr="00A60B2D">
              <w:rPr>
                <w:color w:val="1F1F1F"/>
                <w:lang w:val="uk-UA"/>
              </w:rPr>
              <w:t xml:space="preserve">46, </w:t>
            </w:r>
            <w:r w:rsidRPr="00A60B2D">
              <w:rPr>
                <w:color w:val="151515"/>
                <w:lang w:val="uk-UA"/>
              </w:rPr>
              <w:t xml:space="preserve">поз. </w:t>
            </w:r>
            <w:r w:rsidRPr="00A60B2D">
              <w:rPr>
                <w:color w:val="212121"/>
                <w:lang w:val="uk-UA"/>
              </w:rPr>
              <w:t xml:space="preserve">47 </w:t>
            </w:r>
            <w:r w:rsidRPr="00A60B2D">
              <w:rPr>
                <w:color w:val="131313"/>
                <w:lang w:val="uk-UA"/>
              </w:rPr>
              <w:t xml:space="preserve">та </w:t>
            </w:r>
            <w:r w:rsidRPr="00A60B2D">
              <w:rPr>
                <w:color w:val="161616"/>
                <w:lang w:val="uk-UA"/>
              </w:rPr>
              <w:t xml:space="preserve">поз. </w:t>
            </w:r>
            <w:r w:rsidRPr="00A60B2D">
              <w:rPr>
                <w:color w:val="1C1C1C"/>
                <w:lang w:val="uk-UA"/>
              </w:rPr>
              <w:t xml:space="preserve">48 </w:t>
            </w:r>
            <w:r w:rsidRPr="00A60B2D">
              <w:rPr>
                <w:color w:val="161616"/>
                <w:lang w:val="uk-UA"/>
              </w:rPr>
              <w:t xml:space="preserve">загальною </w:t>
            </w:r>
            <w:r w:rsidRPr="00A60B2D">
              <w:rPr>
                <w:color w:val="1C1C1C"/>
                <w:lang w:val="uk-UA"/>
              </w:rPr>
              <w:t xml:space="preserve">площею </w:t>
            </w:r>
            <w:r w:rsidRPr="00A60B2D">
              <w:rPr>
                <w:color w:val="151515"/>
                <w:lang w:val="uk-UA"/>
              </w:rPr>
              <w:t xml:space="preserve">58,9 </w:t>
            </w:r>
            <w:r w:rsidRPr="00A60B2D">
              <w:rPr>
                <w:color w:val="1C1C1C"/>
                <w:lang w:val="uk-UA"/>
              </w:rPr>
              <w:t>м</w:t>
            </w:r>
            <w:r w:rsidRPr="00A60B2D">
              <w:rPr>
                <w:color w:val="1C1C1C"/>
                <w:vertAlign w:val="superscript"/>
                <w:lang w:val="uk-UA"/>
              </w:rPr>
              <w:t>2</w:t>
            </w:r>
            <w:r w:rsidRPr="00A60B2D">
              <w:rPr>
                <w:color w:val="1C1C1C"/>
                <w:lang w:val="uk-UA"/>
              </w:rPr>
              <w:t xml:space="preserve"> </w:t>
            </w:r>
            <w:r w:rsidRPr="00A60B2D">
              <w:rPr>
                <w:color w:val="131313"/>
                <w:lang w:val="uk-UA"/>
              </w:rPr>
              <w:t xml:space="preserve">за </w:t>
            </w:r>
            <w:proofErr w:type="spellStart"/>
            <w:r w:rsidRPr="00A60B2D">
              <w:rPr>
                <w:color w:val="0F0F0F"/>
                <w:lang w:val="uk-UA"/>
              </w:rPr>
              <w:t>адресою</w:t>
            </w:r>
            <w:proofErr w:type="spellEnd"/>
            <w:r w:rsidRPr="00A60B2D">
              <w:rPr>
                <w:color w:val="0F0F0F"/>
                <w:lang w:val="uk-UA"/>
              </w:rPr>
              <w:t xml:space="preserve">: </w:t>
            </w:r>
            <w:r w:rsidRPr="00A60B2D">
              <w:rPr>
                <w:color w:val="0A0A0A"/>
                <w:lang w:val="uk-UA"/>
              </w:rPr>
              <w:t xml:space="preserve">Закарпатська </w:t>
            </w:r>
            <w:r w:rsidRPr="00A60B2D">
              <w:rPr>
                <w:color w:val="161616"/>
                <w:lang w:val="uk-UA"/>
              </w:rPr>
              <w:t>обл.,</w:t>
            </w:r>
            <w:r w:rsidRPr="00A60B2D">
              <w:rPr>
                <w:color w:val="161616"/>
                <w:spacing w:val="1"/>
                <w:lang w:val="uk-UA"/>
              </w:rPr>
              <w:t xml:space="preserve"> </w:t>
            </w:r>
            <w:r w:rsidRPr="00A60B2D">
              <w:rPr>
                <w:color w:val="0C0C0C"/>
                <w:lang w:val="uk-UA"/>
              </w:rPr>
              <w:t>м.</w:t>
            </w:r>
            <w:r w:rsidRPr="00A60B2D">
              <w:rPr>
                <w:color w:val="0C0C0C"/>
                <w:spacing w:val="1"/>
                <w:lang w:val="uk-UA"/>
              </w:rPr>
              <w:t xml:space="preserve"> </w:t>
            </w:r>
            <w:r w:rsidRPr="00A60B2D">
              <w:rPr>
                <w:color w:val="0A0A0A"/>
                <w:lang w:val="uk-UA"/>
              </w:rPr>
              <w:t>Ужгород,</w:t>
            </w:r>
            <w:r w:rsidRPr="00A60B2D">
              <w:rPr>
                <w:color w:val="0A0A0A"/>
                <w:spacing w:val="19"/>
                <w:lang w:val="uk-UA"/>
              </w:rPr>
              <w:t xml:space="preserve"> </w:t>
            </w:r>
            <w:r w:rsidRPr="00A60B2D">
              <w:rPr>
                <w:color w:val="1F1F1F"/>
                <w:lang w:val="uk-UA"/>
              </w:rPr>
              <w:t>вул.</w:t>
            </w:r>
            <w:r w:rsidRPr="00A60B2D">
              <w:rPr>
                <w:color w:val="1F1F1F"/>
                <w:spacing w:val="6"/>
                <w:lang w:val="uk-UA"/>
              </w:rPr>
              <w:t xml:space="preserve"> </w:t>
            </w:r>
            <w:proofErr w:type="spellStart"/>
            <w:r w:rsidRPr="00A60B2D">
              <w:rPr>
                <w:color w:val="161616"/>
                <w:lang w:val="uk-UA"/>
              </w:rPr>
              <w:t>Минайська</w:t>
            </w:r>
            <w:proofErr w:type="spellEnd"/>
            <w:r w:rsidRPr="00A60B2D">
              <w:rPr>
                <w:color w:val="161616"/>
                <w:lang w:val="uk-UA"/>
              </w:rPr>
              <w:t>,</w:t>
            </w:r>
            <w:r w:rsidRPr="00A60B2D">
              <w:rPr>
                <w:color w:val="161616"/>
                <w:spacing w:val="30"/>
                <w:lang w:val="uk-UA"/>
              </w:rPr>
              <w:t xml:space="preserve"> </w:t>
            </w:r>
            <w:r w:rsidRPr="00A60B2D">
              <w:rPr>
                <w:color w:val="212121"/>
                <w:lang w:val="uk-UA"/>
              </w:rPr>
              <w:t>40</w:t>
            </w:r>
          </w:p>
        </w:tc>
      </w:tr>
      <w:tr w:rsidR="00621AC7" w:rsidRPr="00A60B2D" w14:paraId="7EBA457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7E4A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Орендодавець (назва, код ЄДРПОУ, місцезнаходження, контактна особа, контактний </w:t>
            </w:r>
            <w:proofErr w:type="spellStart"/>
            <w:r w:rsidRPr="00A60B2D">
              <w:rPr>
                <w:color w:val="000000"/>
                <w:lang w:val="uk-UA" w:eastAsia="uk-UA"/>
              </w:rPr>
              <w:t>тел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6B082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14:paraId="359E139D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14:paraId="0C634435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14:paraId="573C6B63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14:paraId="43F08F67" w14:textId="77777777" w:rsidR="00621AC7" w:rsidRPr="00A60B2D" w:rsidRDefault="00621AC7" w:rsidP="00942CDD">
            <w:pPr>
              <w:rPr>
                <w:lang w:val="uk-UA" w:eastAsia="uk-UA"/>
              </w:rPr>
            </w:pPr>
            <w:hyperlink r:id="rId4" w:history="1">
              <w:r w:rsidRPr="00A60B2D">
                <w:rPr>
                  <w:rStyle w:val="af"/>
                  <w:lang w:val="uk-UA" w:eastAsia="uk-UA"/>
                </w:rPr>
                <w:t>mail@uzh-rajrada.gov.ua</w:t>
              </w:r>
            </w:hyperlink>
            <w:r w:rsidRPr="00A60B2D">
              <w:rPr>
                <w:lang w:val="uk-UA" w:eastAsia="uk-UA"/>
              </w:rPr>
              <w:t xml:space="preserve"> </w:t>
            </w:r>
          </w:p>
        </w:tc>
      </w:tr>
      <w:tr w:rsidR="00621AC7" w:rsidRPr="00A60B2D" w14:paraId="413B36F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811BE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Балансоутримувач (назва, код ЄДРПОУ, місцезнаходження, контактна особа, контактний </w:t>
            </w:r>
            <w:proofErr w:type="spellStart"/>
            <w:r w:rsidRPr="00A60B2D">
              <w:rPr>
                <w:color w:val="000000"/>
                <w:lang w:val="uk-UA" w:eastAsia="uk-UA"/>
              </w:rPr>
              <w:t>тел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та електронна пошта)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D7753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Ужгородська районна рада</w:t>
            </w:r>
          </w:p>
          <w:p w14:paraId="26F761B4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код ЄДРПОУ – 25435880</w:t>
            </w:r>
          </w:p>
          <w:p w14:paraId="7B6BF2DB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 xml:space="preserve">88000, Закарпатська область, </w:t>
            </w:r>
          </w:p>
          <w:p w14:paraId="7750ABCC" w14:textId="77777777" w:rsidR="00621AC7" w:rsidRPr="00A60B2D" w:rsidRDefault="00621AC7" w:rsidP="00942CDD">
            <w:pPr>
              <w:rPr>
                <w:lang w:val="uk-UA"/>
              </w:rPr>
            </w:pPr>
            <w:r w:rsidRPr="00A60B2D">
              <w:rPr>
                <w:lang w:val="uk-UA"/>
              </w:rPr>
              <w:t>м. Ужгород, вул. Загорська, 10</w:t>
            </w:r>
          </w:p>
          <w:p w14:paraId="6CDBB535" w14:textId="77777777" w:rsidR="00621AC7" w:rsidRPr="00A60B2D" w:rsidRDefault="00621AC7" w:rsidP="00942CDD">
            <w:pPr>
              <w:rPr>
                <w:lang w:val="uk-UA"/>
              </w:rPr>
            </w:pPr>
            <w:hyperlink r:id="rId5" w:history="1">
              <w:r w:rsidRPr="00A60B2D">
                <w:rPr>
                  <w:rStyle w:val="af"/>
                  <w:lang w:val="uk-UA" w:eastAsia="uk-UA"/>
                </w:rPr>
                <w:t>mail@uzh-rajrada.gov.ua</w:t>
              </w:r>
            </w:hyperlink>
          </w:p>
          <w:p w14:paraId="43C39516" w14:textId="77777777" w:rsidR="00621AC7" w:rsidRPr="00A60B2D" w:rsidRDefault="00621AC7" w:rsidP="00942CDD">
            <w:pPr>
              <w:rPr>
                <w:lang w:val="uk-UA" w:eastAsia="uk-UA"/>
              </w:rPr>
            </w:pPr>
          </w:p>
        </w:tc>
      </w:tr>
      <w:tr w:rsidR="00621AC7" w:rsidRPr="00A60B2D" w14:paraId="0E579A6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7C678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Контактні дані (номер телефону і адреса електронної пошти) працівника балансоутримувача/орендодавця, відповідального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  <w:r w:rsidRPr="00A60B2D">
              <w:rPr>
                <w:i/>
                <w:iCs/>
                <w:color w:val="000000"/>
                <w:shd w:val="clear" w:color="auto" w:fill="FFF2CC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5BA4C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proofErr w:type="spellStart"/>
            <w:r w:rsidRPr="00A60B2D">
              <w:rPr>
                <w:lang w:val="uk-UA"/>
              </w:rPr>
              <w:t>Шелельо</w:t>
            </w:r>
            <w:proofErr w:type="spellEnd"/>
            <w:r w:rsidRPr="00A60B2D">
              <w:rPr>
                <w:lang w:val="uk-UA"/>
              </w:rPr>
              <w:t xml:space="preserve"> Віктор Борисович</w:t>
            </w:r>
          </w:p>
          <w:p w14:paraId="0E089AC7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proofErr w:type="spellStart"/>
            <w:r w:rsidRPr="00A60B2D">
              <w:rPr>
                <w:lang w:val="uk-UA"/>
              </w:rPr>
              <w:t>тел</w:t>
            </w:r>
            <w:proofErr w:type="spellEnd"/>
            <w:r w:rsidRPr="00A60B2D">
              <w:rPr>
                <w:lang w:val="uk-UA"/>
              </w:rPr>
              <w:t>. +380505159065</w:t>
            </w:r>
          </w:p>
          <w:p w14:paraId="7B267B5D" w14:textId="77777777" w:rsidR="00621AC7" w:rsidRPr="00A60B2D" w:rsidRDefault="00621AC7" w:rsidP="00942CDD">
            <w:pPr>
              <w:rPr>
                <w:lang w:val="uk-UA" w:eastAsia="uk-UA"/>
              </w:rPr>
            </w:pPr>
          </w:p>
        </w:tc>
      </w:tr>
      <w:tr w:rsidR="00621AC7" w:rsidRPr="00A60B2D" w14:paraId="766EEC8D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B1199" w14:textId="77777777" w:rsidR="00621AC7" w:rsidRPr="00A60B2D" w:rsidRDefault="00621AC7" w:rsidP="00942CDD">
            <w:pPr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lang w:val="uk-UA" w:eastAsia="uk-UA"/>
              </w:rPr>
              <w:t>Інформація про об’єкт оренди</w:t>
            </w:r>
          </w:p>
        </w:tc>
      </w:tr>
      <w:tr w:rsidR="00621AC7" w:rsidRPr="00A60B2D" w14:paraId="00065C4B" w14:textId="77777777" w:rsidTr="00942CDD">
        <w:trPr>
          <w:gridAfter w:val="1"/>
          <w:wAfter w:w="9" w:type="dxa"/>
          <w:trHeight w:val="870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5D27D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Переліку, до якого включено об’єкт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8C339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Перелік першого  типу</w:t>
            </w:r>
          </w:p>
        </w:tc>
      </w:tr>
      <w:tr w:rsidR="00621AC7" w:rsidRPr="00A60B2D" w14:paraId="517BC4A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F630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Експертна оцінка вартості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66C04" w14:textId="77777777" w:rsidR="00621AC7" w:rsidRPr="0058763B" w:rsidRDefault="00621AC7" w:rsidP="00942CDD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58763B">
              <w:rPr>
                <w:lang w:val="uk-UA"/>
              </w:rPr>
              <w:t>2 724 832,00 ( два мільйони сімсот двадцять чотири тисячі вісімсот тридцять дві гривні 00 копійок) грн.</w:t>
            </w:r>
          </w:p>
          <w:p w14:paraId="7A7ABB99" w14:textId="77777777" w:rsidR="00621AC7" w:rsidRPr="00A60B2D" w:rsidRDefault="00621AC7" w:rsidP="00942CDD">
            <w:pPr>
              <w:rPr>
                <w:lang w:val="uk-UA" w:eastAsia="uk-UA"/>
              </w:rPr>
            </w:pPr>
          </w:p>
        </w:tc>
      </w:tr>
      <w:tr w:rsidR="00621AC7" w:rsidRPr="00A60B2D" w14:paraId="7EE5D92E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4466A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Тип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DFAC5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Нерухоме майно</w:t>
            </w:r>
          </w:p>
          <w:p w14:paraId="600A1C20" w14:textId="77777777" w:rsidR="00621AC7" w:rsidRPr="00A60B2D" w:rsidRDefault="00621AC7" w:rsidP="00942CDD">
            <w:pPr>
              <w:rPr>
                <w:lang w:val="uk-UA" w:eastAsia="uk-UA"/>
              </w:rPr>
            </w:pPr>
          </w:p>
        </w:tc>
      </w:tr>
      <w:tr w:rsidR="00621AC7" w:rsidRPr="00A60B2D" w14:paraId="691B6FAE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9A69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Строк оренди / графік використання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87920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5 років</w:t>
            </w:r>
          </w:p>
        </w:tc>
      </w:tr>
      <w:tr w:rsidR="00621AC7" w:rsidRPr="00A60B2D" w14:paraId="7D425424" w14:textId="77777777" w:rsidTr="00942CDD">
        <w:trPr>
          <w:gridAfter w:val="1"/>
          <w:wAfter w:w="9" w:type="dxa"/>
          <w:trHeight w:val="2535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842BF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lastRenderedPageBreak/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57FBD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Відсутня</w:t>
            </w:r>
          </w:p>
        </w:tc>
      </w:tr>
      <w:tr w:rsidR="00621AC7" w:rsidRPr="00A60B2D" w14:paraId="699035BF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2EB27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отримання балансоутримувачем погодження органу управління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41D99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Не потребує</w:t>
            </w:r>
          </w:p>
        </w:tc>
      </w:tr>
      <w:tr w:rsidR="00621AC7" w:rsidRPr="00A60B2D" w14:paraId="0B55EB83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ABEF2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Чи передбачається можливість передачі об’єкта в суборенду та інформація про порядок повідомлення орендодавця про укладення договору суборенди згідно ч. 3 ст. 13 Закону України “Про оренду державного та комунального майна”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C2C99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Без права суборенди</w:t>
            </w:r>
          </w:p>
          <w:p w14:paraId="67B7A586" w14:textId="77777777" w:rsidR="00621AC7" w:rsidRPr="00A60B2D" w:rsidRDefault="00621AC7" w:rsidP="00942CDD">
            <w:pPr>
              <w:rPr>
                <w:b/>
                <w:lang w:val="uk-UA" w:eastAsia="uk-UA"/>
              </w:rPr>
            </w:pPr>
          </w:p>
        </w:tc>
      </w:tr>
      <w:tr w:rsidR="00621AC7" w:rsidRPr="00A60B2D" w14:paraId="2BCBA1B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8AE4B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Фотографічні матеріали (наявні / відсутні)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36BCE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Додаються окремим файлом</w:t>
            </w:r>
          </w:p>
        </w:tc>
      </w:tr>
      <w:tr w:rsidR="00621AC7" w:rsidRPr="00A60B2D" w14:paraId="0775BF0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7C844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Загальна площа об’єкта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AA9ED" w14:textId="77777777" w:rsidR="00621AC7" w:rsidRPr="00A60B2D" w:rsidRDefault="00621AC7" w:rsidP="00942CDD">
            <w:pPr>
              <w:jc w:val="both"/>
              <w:rPr>
                <w:vertAlign w:val="superscript"/>
                <w:lang w:val="uk-UA"/>
              </w:rPr>
            </w:pPr>
            <w:r w:rsidRPr="00A60B2D">
              <w:rPr>
                <w:lang w:val="uk-UA"/>
              </w:rPr>
              <w:t>58,9 м</w:t>
            </w:r>
            <w:r w:rsidRPr="00A60B2D">
              <w:rPr>
                <w:vertAlign w:val="superscript"/>
                <w:lang w:val="uk-UA"/>
              </w:rPr>
              <w:t>2</w:t>
            </w:r>
          </w:p>
        </w:tc>
      </w:tr>
      <w:tr w:rsidR="00621AC7" w:rsidRPr="00A60B2D" w14:paraId="3C153FBF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EC995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Корисна площа об’єкта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848FF" w14:textId="77777777" w:rsidR="00621AC7" w:rsidRPr="00A60B2D" w:rsidRDefault="00621AC7" w:rsidP="00942CDD">
            <w:pPr>
              <w:jc w:val="both"/>
              <w:rPr>
                <w:vertAlign w:val="superscript"/>
                <w:lang w:val="uk-UA"/>
              </w:rPr>
            </w:pPr>
            <w:r w:rsidRPr="00A60B2D">
              <w:rPr>
                <w:lang w:val="uk-UA"/>
              </w:rPr>
              <w:t>58,9 м</w:t>
            </w:r>
            <w:r w:rsidRPr="00A60B2D">
              <w:rPr>
                <w:vertAlign w:val="superscript"/>
                <w:lang w:val="uk-UA"/>
              </w:rPr>
              <w:t>2</w:t>
            </w:r>
          </w:p>
        </w:tc>
      </w:tr>
      <w:tr w:rsidR="00621AC7" w:rsidRPr="00A60B2D" w14:paraId="1B2F09A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4573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арешти майна / застави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4160E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Відсутня</w:t>
            </w:r>
          </w:p>
        </w:tc>
      </w:tr>
      <w:tr w:rsidR="00621AC7" w:rsidRPr="00A60B2D" w14:paraId="684DE50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21B2A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Характеристика об’єкта оренди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90FBE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Приміщення з трьох кабінетів на першому поверсі двоповерхової будівлі</w:t>
            </w:r>
          </w:p>
        </w:tc>
      </w:tr>
      <w:tr w:rsidR="00621AC7" w:rsidRPr="00A60B2D" w14:paraId="75BB0AF3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84B29" w14:textId="77777777" w:rsidR="00621AC7" w:rsidRPr="00A60B2D" w:rsidRDefault="00621AC7" w:rsidP="00942CDD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Технічний стан об’єкта</w:t>
            </w:r>
          </w:p>
          <w:p w14:paraId="494822E9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інформація про потужність електромережі і забезпечення об’єкта комунікаціями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01544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Технічний стан – добрий.</w:t>
            </w:r>
          </w:p>
          <w:p w14:paraId="39ECBCA0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Об’єкт оренди забезпечено системами водопостачання, водовідведення, електропостачання</w:t>
            </w:r>
          </w:p>
          <w:p w14:paraId="4A0D27C2" w14:textId="77777777" w:rsidR="00621AC7" w:rsidRPr="00A60B2D" w:rsidRDefault="00621AC7" w:rsidP="00942CDD">
            <w:pPr>
              <w:rPr>
                <w:lang w:val="uk-UA" w:eastAsia="uk-UA"/>
              </w:rPr>
            </w:pPr>
          </w:p>
        </w:tc>
      </w:tr>
      <w:tr w:rsidR="00621AC7" w:rsidRPr="00A60B2D" w14:paraId="30A2269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00570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 xml:space="preserve">Поверховий план об’єкта або план </w:t>
            </w:r>
            <w:proofErr w:type="spellStart"/>
            <w:r w:rsidRPr="00A60B2D">
              <w:rPr>
                <w:color w:val="000000"/>
                <w:shd w:val="clear" w:color="auto" w:fill="FFFFFF"/>
                <w:lang w:val="uk-UA" w:eastAsia="uk-UA"/>
              </w:rPr>
              <w:t>поверха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D6896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Додається окремим файлом</w:t>
            </w:r>
          </w:p>
        </w:tc>
      </w:tr>
      <w:tr w:rsidR="00621AC7" w:rsidRPr="00A60B2D" w14:paraId="09601D0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F88D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137A3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Об’єкт не є пам’яткою культурної спадщини</w:t>
            </w:r>
          </w:p>
        </w:tc>
      </w:tr>
      <w:tr w:rsidR="00621AC7" w:rsidRPr="00A60B2D" w14:paraId="74F0B1B4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6E4A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Інформація про цільове призначення об’єкта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E69E2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shd w:val="clear" w:color="auto" w:fill="FFFFFF"/>
                <w:lang w:val="uk-UA"/>
              </w:rPr>
              <w:t>Об’єкт оренди може бути використаний переможцем аукціону за будь-яким цільовим призначенням </w:t>
            </w:r>
          </w:p>
        </w:tc>
      </w:tr>
      <w:tr w:rsidR="00621AC7" w:rsidRPr="00A60B2D" w14:paraId="4322EF2F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E45D8" w14:textId="77777777" w:rsidR="00621AC7" w:rsidRPr="00A60B2D" w:rsidRDefault="00621AC7" w:rsidP="00942CDD">
            <w:pPr>
              <w:jc w:val="both"/>
              <w:rPr>
                <w:b/>
                <w:lang w:val="uk-UA"/>
              </w:rPr>
            </w:pPr>
            <w:r w:rsidRPr="00A60B2D">
              <w:rPr>
                <w:lang w:val="uk-UA"/>
              </w:rPr>
              <w:lastRenderedPageBreak/>
              <w:t>Інформація про компенсацію витрат на оплату комунальних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A4841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Орендар відшкодовує Ужгородській районній раді витрати на оплату комунальних послуг відповідно до договору</w:t>
            </w:r>
          </w:p>
        </w:tc>
      </w:tr>
      <w:tr w:rsidR="00621AC7" w:rsidRPr="00A60B2D" w14:paraId="3436FF4E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EA46F" w14:textId="77777777" w:rsidR="00621AC7" w:rsidRPr="00A60B2D" w:rsidRDefault="00621AC7" w:rsidP="00942CDD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Інформація про аукціон </w:t>
            </w:r>
          </w:p>
        </w:tc>
      </w:tr>
      <w:tr w:rsidR="00621AC7" w:rsidRPr="00A60B2D" w14:paraId="446CDECC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D2A07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Вид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22E73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Аукціон / аукціон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зі зниженням стартової орендної плати на 50 відсотків / аукціон  за методом покрокового зниження стартової орендної плати та подальшого подання цінових пропозицій</w:t>
            </w:r>
          </w:p>
        </w:tc>
      </w:tr>
      <w:tr w:rsidR="00621AC7" w:rsidRPr="00A60B2D" w14:paraId="0BE43DB3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C1D0A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Місце проведення аукціону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2D5D0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Електронний аукціон відбувається в електронній торговій системі </w:t>
            </w:r>
            <w:proofErr w:type="spellStart"/>
            <w:r w:rsidRPr="00A60B2D">
              <w:rPr>
                <w:color w:val="000000"/>
                <w:lang w:val="uk-UA" w:eastAsia="uk-UA"/>
              </w:rPr>
              <w:t>Прозорро.Продажі</w:t>
            </w:r>
            <w:proofErr w:type="spellEnd"/>
            <w:r w:rsidRPr="00A60B2D">
              <w:rPr>
                <w:color w:val="000000"/>
                <w:lang w:val="uk-UA" w:eastAsia="uk-UA"/>
              </w:rPr>
              <w:t xml:space="preserve"> через авторизовані електронні майданчики. </w:t>
            </w:r>
          </w:p>
          <w:p w14:paraId="2131437D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</w:p>
          <w:p w14:paraId="79F6CB5A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Орендодавець для проведення та організації аукціону використовує електронний майданчик Е-Тендер. </w:t>
            </w:r>
          </w:p>
        </w:tc>
      </w:tr>
      <w:tr w:rsidR="00621AC7" w:rsidRPr="00A60B2D" w14:paraId="446E05D9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FB532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Час проведення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72FB5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Дата та час аукціону визначені умова оголошення на електронному майданчику. </w:t>
            </w:r>
          </w:p>
        </w:tc>
      </w:tr>
      <w:tr w:rsidR="00621AC7" w:rsidRPr="00A60B2D" w14:paraId="7E9E0851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34088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для подання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F6E0E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електронного аукціону.</w:t>
            </w:r>
          </w:p>
        </w:tc>
      </w:tr>
      <w:tr w:rsidR="00621AC7" w:rsidRPr="00A60B2D" w14:paraId="2A7D150F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20796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Стартова орендна плата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9B838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1% від експертної оцінки (</w:t>
            </w:r>
            <w:r>
              <w:rPr>
                <w:lang w:val="uk-UA"/>
              </w:rPr>
              <w:t>27 248,32</w:t>
            </w:r>
            <w:r w:rsidRPr="00A60B2D">
              <w:rPr>
                <w:lang w:val="uk-UA"/>
              </w:rPr>
              <w:t>грн)</w:t>
            </w:r>
          </w:p>
        </w:tc>
      </w:tr>
      <w:tr w:rsidR="00621AC7" w:rsidRPr="00A60B2D" w14:paraId="2F37AF7A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DBCB0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Період прийому пропозицій для першого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C766B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25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621AC7" w:rsidRPr="00A60B2D" w14:paraId="3844208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3B58A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зі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816EB" w14:textId="77777777" w:rsidR="00621AC7" w:rsidRPr="00A60B2D" w:rsidRDefault="00621AC7" w:rsidP="00942CDD">
            <w:pPr>
              <w:rPr>
                <w:lang w:val="uk-UA" w:eastAsia="uk-UA"/>
              </w:rPr>
            </w:pPr>
            <w:r>
              <w:rPr>
                <w:lang w:val="uk-UA"/>
              </w:rPr>
              <w:t>13 624,16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621AC7" w:rsidRPr="00A60B2D" w14:paraId="26C2167F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05E6B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повторного аукціону із зниженням стартової орендної плати на 50 відсотків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2E904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25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621AC7" w:rsidRPr="00A60B2D" w14:paraId="759BC84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5CA0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Стартова орендна плата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41162" w14:textId="77777777" w:rsidR="00621AC7" w:rsidRPr="00A60B2D" w:rsidRDefault="00621AC7" w:rsidP="00942CDD">
            <w:pPr>
              <w:rPr>
                <w:lang w:val="uk-UA" w:eastAsia="uk-UA"/>
              </w:rPr>
            </w:pPr>
            <w:r>
              <w:rPr>
                <w:lang w:val="uk-UA"/>
              </w:rPr>
              <w:t>13 624,16</w:t>
            </w:r>
            <w:r w:rsidRPr="00A60B2D">
              <w:rPr>
                <w:lang w:val="uk-UA"/>
              </w:rPr>
              <w:t xml:space="preserve"> грн</w:t>
            </w:r>
          </w:p>
        </w:tc>
      </w:tr>
      <w:tr w:rsidR="00621AC7" w:rsidRPr="00A60B2D" w14:paraId="04D5A42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EFFF1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lastRenderedPageBreak/>
              <w:t xml:space="preserve">Період прийому пропозицій для </w:t>
            </w:r>
            <w:r w:rsidRPr="00A60B2D">
              <w:rPr>
                <w:color w:val="333333"/>
                <w:shd w:val="clear" w:color="auto" w:fill="FFFFFF"/>
                <w:lang w:val="uk-UA" w:eastAsia="uk-UA"/>
              </w:rPr>
              <w:t>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DAA92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25 </w:t>
            </w:r>
            <w:proofErr w:type="spellStart"/>
            <w:r w:rsidRPr="00A60B2D">
              <w:rPr>
                <w:color w:val="000000"/>
                <w:lang w:val="uk-UA" w:eastAsia="uk-UA"/>
              </w:rPr>
              <w:t>к.д</w:t>
            </w:r>
            <w:proofErr w:type="spellEnd"/>
            <w:r w:rsidRPr="00A60B2D">
              <w:rPr>
                <w:color w:val="000000"/>
                <w:lang w:val="uk-UA" w:eastAsia="uk-UA"/>
              </w:rPr>
              <w:t>. </w:t>
            </w:r>
          </w:p>
        </w:tc>
      </w:tr>
      <w:tr w:rsidR="00621AC7" w:rsidRPr="00A60B2D" w14:paraId="5FD6082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6D1B9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Кількість кроків аукціону за методом покрокового зниження стартової орендної плати та подальшого подання цінових пропозицій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8551E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3</w:t>
            </w:r>
          </w:p>
        </w:tc>
      </w:tr>
      <w:tr w:rsidR="00621AC7" w:rsidRPr="00A60B2D" w14:paraId="7DE79E0F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2EEF2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Інформація про нарахування / врахування ПДВ в стартовій орендній платі (враховано / нараховується до орендної плати за результатами аукціону)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597A6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ПДВ не нараховується</w:t>
            </w:r>
          </w:p>
        </w:tc>
      </w:tr>
      <w:tr w:rsidR="00621AC7" w:rsidRPr="00A60B2D" w14:paraId="6A33355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78EB9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кроку аукціону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B30FC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1% від стартової орендної плати </w:t>
            </w:r>
          </w:p>
        </w:tc>
      </w:tr>
      <w:tr w:rsidR="00621AC7" w:rsidRPr="00A60B2D" w14:paraId="561DD29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17BB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Розмір гарантійного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39E53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Розмір гарантійного внеску встановлюється у розмірі стартової орендної плати на два місяці для об’єкта оренди, пропонований строк оренди яких становить до п’яти років (</w:t>
            </w:r>
            <w:r>
              <w:rPr>
                <w:lang w:val="uk-UA"/>
              </w:rPr>
              <w:t>54 496,64</w:t>
            </w:r>
            <w:r w:rsidRPr="00A60B2D">
              <w:rPr>
                <w:lang w:val="uk-UA"/>
              </w:rPr>
              <w:t xml:space="preserve"> грн.)</w:t>
            </w:r>
          </w:p>
        </w:tc>
      </w:tr>
      <w:tr w:rsidR="00621AC7" w:rsidRPr="00A60B2D" w14:paraId="0E99432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57945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реєстраційного внеску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A3AAA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10% від мінімальної заробітної плати</w:t>
            </w:r>
          </w:p>
        </w:tc>
      </w:tr>
      <w:tr w:rsidR="00621AC7" w:rsidRPr="00A60B2D" w14:paraId="1FCD26DA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12BBF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реєстраційних внесків учасників</w:t>
            </w:r>
            <w:r w:rsidRPr="00A60B2D">
              <w:rPr>
                <w:color w:val="000000"/>
                <w:lang w:val="uk-UA" w:eastAsia="uk-UA"/>
              </w:rPr>
              <w:br/>
            </w:r>
            <w:r w:rsidRPr="00A60B2D">
              <w:rPr>
                <w:color w:val="000000"/>
                <w:lang w:val="uk-UA" w:eastAsia="uk-UA"/>
              </w:rPr>
              <w:br/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8014D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14:paraId="7286A250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UA558999980314080544000007286</w:t>
            </w:r>
          </w:p>
          <w:p w14:paraId="320DD1DF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14:paraId="573926C3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14:paraId="4690DD02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  <w:p w14:paraId="3E7B6B38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</w:p>
        </w:tc>
      </w:tr>
      <w:tr w:rsidR="00621AC7" w:rsidRPr="00A60B2D" w14:paraId="22716A6C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83511" w14:textId="77777777" w:rsidR="00621AC7" w:rsidRPr="00A60B2D" w:rsidRDefault="00621AC7" w:rsidP="00942CDD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Реквізити для перерахування гарантійних внесків учасників (у разі їх дискваліфікації)</w:t>
            </w:r>
          </w:p>
          <w:p w14:paraId="7EF885AB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Найменування установи (банку, казначейства), її місцезнаходження та номери рахунків у національній та іноземній валюті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CEFAD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платежу - 24060300</w:t>
            </w:r>
          </w:p>
          <w:p w14:paraId="19F391BF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р/р UA638999980314111905000007286</w:t>
            </w:r>
          </w:p>
          <w:p w14:paraId="302B1452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ГУДПС в Закарпатській області</w:t>
            </w:r>
          </w:p>
          <w:p w14:paraId="7FB74FA6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Код ЄДРПОУ 37975895</w:t>
            </w:r>
          </w:p>
          <w:p w14:paraId="3677868C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/>
              </w:rPr>
              <w:t>Банк: Казначейство України</w:t>
            </w:r>
          </w:p>
        </w:tc>
      </w:tr>
      <w:tr w:rsidR="00621AC7" w:rsidRPr="00A60B2D" w14:paraId="21741F7A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C8899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Розмір авансового внеску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14DD8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621AC7" w:rsidRPr="00A60B2D" w14:paraId="0B2259F7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85426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Сума забезпечувального депозиту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124ED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-</w:t>
            </w:r>
          </w:p>
        </w:tc>
      </w:tr>
      <w:tr w:rsidR="00621AC7" w:rsidRPr="00A60B2D" w14:paraId="5C09D54C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1FF3E" w14:textId="77777777" w:rsidR="00621AC7" w:rsidRPr="00A60B2D" w:rsidRDefault="00621AC7" w:rsidP="00942CDD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t>Додаткові умови оренди</w:t>
            </w:r>
          </w:p>
        </w:tc>
      </w:tr>
      <w:tr w:rsidR="00621AC7" w:rsidRPr="00A60B2D" w14:paraId="59380E22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8B468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 xml:space="preserve">Перелік додаткових умов оренди, з переліку, що визначений </w:t>
            </w:r>
            <w:proofErr w:type="spellStart"/>
            <w:r w:rsidRPr="00A60B2D">
              <w:rPr>
                <w:color w:val="000000"/>
                <w:shd w:val="clear" w:color="auto" w:fill="FFFFFF"/>
                <w:lang w:val="uk-UA" w:eastAsia="uk-UA"/>
              </w:rPr>
              <w:t>абз</w:t>
            </w:r>
            <w:proofErr w:type="spellEnd"/>
            <w:r w:rsidRPr="00A60B2D">
              <w:rPr>
                <w:color w:val="000000"/>
                <w:shd w:val="clear" w:color="auto" w:fill="FFFFFF"/>
                <w:lang w:val="uk-UA" w:eastAsia="uk-UA"/>
              </w:rPr>
              <w:t>. 4 п. 55 Порядку передачі в оренду державного та комунального майна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AD90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621AC7" w:rsidRPr="00A60B2D" w14:paraId="59E04868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305A1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shd w:val="clear" w:color="auto" w:fill="FFFFFF"/>
                <w:lang w:val="uk-UA" w:eastAsia="uk-UA"/>
              </w:rPr>
              <w:t>Дата та номер рішення про затвердження додаткових умови оренди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BDD28" w14:textId="77777777" w:rsidR="00621AC7" w:rsidRPr="00A60B2D" w:rsidRDefault="00621AC7" w:rsidP="00942CDD">
            <w:pPr>
              <w:jc w:val="both"/>
              <w:rPr>
                <w:lang w:val="uk-UA"/>
              </w:rPr>
            </w:pPr>
            <w:r w:rsidRPr="00A60B2D">
              <w:rPr>
                <w:lang w:val="uk-UA"/>
              </w:rPr>
              <w:t>Відсутні</w:t>
            </w:r>
          </w:p>
        </w:tc>
      </w:tr>
      <w:tr w:rsidR="00621AC7" w:rsidRPr="00A60B2D" w14:paraId="0DA06481" w14:textId="77777777" w:rsidTr="00942CDD">
        <w:trPr>
          <w:trHeight w:val="440"/>
        </w:trPr>
        <w:tc>
          <w:tcPr>
            <w:tcW w:w="96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6A7CF" w14:textId="77777777" w:rsidR="00621AC7" w:rsidRPr="00A60B2D" w:rsidRDefault="00621AC7" w:rsidP="00942CDD">
            <w:pPr>
              <w:shd w:val="clear" w:color="auto" w:fill="FFFFFF"/>
              <w:spacing w:after="160"/>
              <w:jc w:val="center"/>
              <w:rPr>
                <w:lang w:val="uk-UA" w:eastAsia="uk-UA"/>
              </w:rPr>
            </w:pPr>
            <w:r w:rsidRPr="00A60B2D">
              <w:rPr>
                <w:b/>
                <w:bCs/>
                <w:color w:val="000000"/>
                <w:shd w:val="clear" w:color="auto" w:fill="FFFFFF"/>
                <w:lang w:val="uk-UA" w:eastAsia="uk-UA"/>
              </w:rPr>
              <w:lastRenderedPageBreak/>
              <w:t>Додаткова інформація</w:t>
            </w:r>
          </w:p>
        </w:tc>
      </w:tr>
      <w:tr w:rsidR="00621AC7" w:rsidRPr="00A60B2D" w14:paraId="500CC835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C5418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Наявність згоди на здійснення поточного та/або капітального ремонту орендованого майна під час встановлення додаткової умови оренди щодо виконання конкретних видів ремонтних робіт (поточного та/або капітального ремонту), реконструкції або реставрації об’єкта оренди із зазначенням суми і строку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31580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lang w:val="uk-UA"/>
              </w:rPr>
              <w:t>Ремонт за окремим зверненням орендаря</w:t>
            </w:r>
          </w:p>
        </w:tc>
      </w:tr>
      <w:tr w:rsidR="00621AC7" w:rsidRPr="00A60B2D" w14:paraId="00C72360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98B13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 xml:space="preserve">Інформація про необхідність відповідності орендаря вимогам </w:t>
            </w:r>
            <w:hyperlink r:id="rId6" w:anchor="n120" w:history="1">
              <w:r w:rsidRPr="00A60B2D">
                <w:rPr>
                  <w:color w:val="000000"/>
                  <w:u w:val="single"/>
                  <w:lang w:val="uk-UA" w:eastAsia="uk-UA"/>
                </w:rPr>
                <w:t>статті 4</w:t>
              </w:r>
            </w:hyperlink>
            <w:r w:rsidRPr="00A60B2D">
              <w:rPr>
                <w:color w:val="000000"/>
                <w:lang w:val="uk-UA" w:eastAsia="uk-UA"/>
              </w:rPr>
              <w:t xml:space="preserve"> Закону та можливість орендаря укладати договір суборенди лише з особами, які відповідають вимогам статті 4 Закону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90802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повинен відповідати вимогам до особи орендаря, визначеним статтею 4 Закону України "Про оренду державного та комунального майна".</w:t>
            </w:r>
          </w:p>
          <w:p w14:paraId="2E84FFBB" w14:textId="77777777" w:rsidR="00621AC7" w:rsidRPr="00A60B2D" w:rsidRDefault="00621AC7" w:rsidP="00942CDD">
            <w:pPr>
              <w:rPr>
                <w:lang w:val="uk-UA" w:eastAsia="uk-UA"/>
              </w:rPr>
            </w:pPr>
          </w:p>
          <w:p w14:paraId="3F537BF4" w14:textId="77777777" w:rsidR="00621AC7" w:rsidRPr="00A60B2D" w:rsidRDefault="00621AC7" w:rsidP="00942CDD">
            <w:pPr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Потенційний орендар для участі в аукціоні надає підтверджуючі документи, що передбачені ч. 3 ст. 13 Закону України "Про оренду державного та комунального майна".</w:t>
            </w:r>
          </w:p>
        </w:tc>
      </w:tr>
      <w:tr w:rsidR="00621AC7" w:rsidRPr="00A60B2D" w14:paraId="5DB33961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4C448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Копія охоронного договору, - якщо об’єктом оренди є пам’ятка, а якщо об’єктом оренди є занедбана пам’ятка, -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AF705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lang w:val="uk-UA" w:eastAsia="uk-UA"/>
              </w:rPr>
              <w:t>Відсутні</w:t>
            </w:r>
          </w:p>
        </w:tc>
      </w:tr>
      <w:tr w:rsidR="00621AC7" w:rsidRPr="00A60B2D" w14:paraId="0319C98B" w14:textId="77777777" w:rsidTr="00942CDD">
        <w:trPr>
          <w:gridAfter w:val="1"/>
          <w:wAfter w:w="9" w:type="dxa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D31C7" w14:textId="77777777" w:rsidR="00621AC7" w:rsidRPr="00A60B2D" w:rsidRDefault="00621AC7" w:rsidP="00942CDD">
            <w:pPr>
              <w:shd w:val="clear" w:color="auto" w:fill="FFFFFF"/>
              <w:spacing w:after="160"/>
              <w:jc w:val="both"/>
              <w:rPr>
                <w:lang w:val="uk-UA" w:eastAsia="uk-UA"/>
              </w:rPr>
            </w:pPr>
            <w:r w:rsidRPr="00A60B2D">
              <w:rPr>
                <w:color w:val="000000"/>
                <w:lang w:val="uk-UA" w:eastAsia="uk-UA"/>
              </w:rPr>
              <w:t>Інша додаткова інформація, визначена орендодавцем</w:t>
            </w:r>
          </w:p>
          <w:p w14:paraId="725B7C93" w14:textId="77777777" w:rsidR="00621AC7" w:rsidRPr="00A60B2D" w:rsidRDefault="00621AC7" w:rsidP="00942CDD">
            <w:pPr>
              <w:shd w:val="clear" w:color="auto" w:fill="FFFFFF"/>
              <w:spacing w:after="160"/>
              <w:ind w:left="1080" w:hanging="360"/>
              <w:jc w:val="both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1913" w14:textId="77777777" w:rsidR="00621AC7" w:rsidRPr="00A60B2D" w:rsidRDefault="00621AC7" w:rsidP="00942CDD">
            <w:pPr>
              <w:rPr>
                <w:lang w:val="uk-UA" w:eastAsia="uk-UA"/>
              </w:rPr>
            </w:pPr>
            <w:r w:rsidRPr="00A60B2D">
              <w:rPr>
                <w:color w:val="000000"/>
                <w:lang w:val="uk-UA"/>
              </w:rPr>
              <w:t>Витрати з проведення незалежної оцінки майна покласти на переможця аукціону</w:t>
            </w:r>
          </w:p>
        </w:tc>
      </w:tr>
    </w:tbl>
    <w:p w14:paraId="0F559298" w14:textId="77777777" w:rsidR="00621AC7" w:rsidRPr="00B9631D" w:rsidRDefault="00621AC7" w:rsidP="00621AC7">
      <w:pPr>
        <w:shd w:val="clear" w:color="auto" w:fill="FFFFFF"/>
        <w:ind w:left="720"/>
        <w:jc w:val="both"/>
        <w:rPr>
          <w:lang w:eastAsia="uk-UA"/>
        </w:rPr>
      </w:pPr>
    </w:p>
    <w:p w14:paraId="60E5946E" w14:textId="77777777" w:rsidR="00621AC7" w:rsidRPr="007E2292" w:rsidRDefault="00621AC7" w:rsidP="00621AC7">
      <w:pPr>
        <w:jc w:val="center"/>
        <w:rPr>
          <w:noProof/>
          <w:sz w:val="28"/>
          <w:szCs w:val="28"/>
        </w:rPr>
      </w:pPr>
    </w:p>
    <w:p w14:paraId="3A286D8C" w14:textId="77777777" w:rsidR="00CA0AEA" w:rsidRPr="00621AC7" w:rsidRDefault="00CA0AEA" w:rsidP="00621AC7"/>
    <w:sectPr w:rsidR="00CA0AEA" w:rsidRPr="00621AC7" w:rsidSect="007D00AD">
      <w:headerReference w:type="even" r:id="rId7"/>
      <w:headerReference w:type="default" r:id="rId8"/>
      <w:pgSz w:w="11906" w:h="16838"/>
      <w:pgMar w:top="709" w:right="70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1ACC" w14:textId="77777777" w:rsidR="007D00AD" w:rsidRDefault="007D00AD">
    <w:pPr>
      <w:pStyle w:val="ac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0AD8ECA3" w14:textId="77777777" w:rsidR="007D00AD" w:rsidRDefault="007D00AD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4A3D" w14:textId="77777777" w:rsidR="007D00AD" w:rsidRDefault="007D00AD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AD"/>
    <w:rsid w:val="00437861"/>
    <w:rsid w:val="00621AC7"/>
    <w:rsid w:val="00644B86"/>
    <w:rsid w:val="007D00AD"/>
    <w:rsid w:val="00816EEB"/>
    <w:rsid w:val="009C12BC"/>
    <w:rsid w:val="00AD3C8B"/>
    <w:rsid w:val="00C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3C2C"/>
  <w15:chartTrackingRefBased/>
  <w15:docId w15:val="{9BBC2923-2020-4C10-828F-A8CAF2B5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0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0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0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0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0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0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0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0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0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0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0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0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0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0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0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0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0A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D00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00A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e">
    <w:name w:val="page number"/>
    <w:basedOn w:val="a0"/>
    <w:rsid w:val="007D00AD"/>
  </w:style>
  <w:style w:type="character" w:styleId="af">
    <w:name w:val="Hyperlink"/>
    <w:rsid w:val="007D00AD"/>
    <w:rPr>
      <w:color w:val="0000FF"/>
      <w:u w:val="single"/>
    </w:rPr>
  </w:style>
  <w:style w:type="paragraph" w:styleId="af0">
    <w:basedOn w:val="a"/>
    <w:next w:val="af1"/>
    <w:uiPriority w:val="99"/>
    <w:rsid w:val="00621AC7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62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57-20" TargetMode="External"/><Relationship Id="rId5" Type="http://schemas.openxmlformats.org/officeDocument/2006/relationships/hyperlink" Target="mailto:mail@uzh-rajrada.gov.u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il@uzh-rajrada.gov.u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2026-05-25T11:22:00Z</dcterms:created>
  <dcterms:modified xsi:type="dcterms:W3CDTF">2026-05-25T11:22:00Z</dcterms:modified>
</cp:coreProperties>
</file>